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845" w:type="dxa"/>
        <w:tblInd w:w="0" w:type="dxa"/>
        <w:shd w:val="clear"/>
        <w:tblLayout w:type="fixed"/>
        <w:tblCellMar>
          <w:top w:w="0" w:type="dxa"/>
          <w:left w:w="0" w:type="dxa"/>
          <w:bottom w:w="0" w:type="dxa"/>
          <w:right w:w="0" w:type="dxa"/>
        </w:tblCellMar>
      </w:tblPr>
      <w:tblGrid>
        <w:gridCol w:w="1105"/>
        <w:gridCol w:w="928"/>
        <w:gridCol w:w="931"/>
        <w:gridCol w:w="810"/>
        <w:gridCol w:w="418"/>
        <w:gridCol w:w="1216"/>
        <w:gridCol w:w="723"/>
        <w:gridCol w:w="2515"/>
        <w:gridCol w:w="1428"/>
        <w:gridCol w:w="1393"/>
        <w:gridCol w:w="973"/>
        <w:gridCol w:w="1154"/>
        <w:gridCol w:w="251"/>
      </w:tblGrid>
      <w:tr>
        <w:tblPrEx>
          <w:shd w:val="clear"/>
          <w:tblLayout w:type="fixed"/>
          <w:tblCellMar>
            <w:top w:w="0" w:type="dxa"/>
            <w:left w:w="0" w:type="dxa"/>
            <w:bottom w:w="0" w:type="dxa"/>
            <w:right w:w="0" w:type="dxa"/>
          </w:tblCellMar>
        </w:tblPrEx>
        <w:trPr>
          <w:trHeight w:val="65" w:hRule="atLeast"/>
        </w:trPr>
        <w:tc>
          <w:tcPr>
            <w:tcW w:w="13594" w:type="dxa"/>
            <w:gridSpan w:val="12"/>
            <w:tcBorders>
              <w:top w:val="nil"/>
              <w:left w:val="nil"/>
              <w:bottom w:val="single" w:color="auto" w:sz="8" w:space="0"/>
              <w:right w:val="nil"/>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ind w:left="0" w:right="0"/>
              <w:jc w:val="center"/>
              <w:textAlignment w:val="center"/>
            </w:pPr>
            <w:r>
              <w:rPr>
                <w:rFonts w:ascii="方正小标宋简体" w:hAnsi="方正小标宋简体" w:eastAsia="方正小标宋简体" w:cs="方正小标宋简体"/>
                <w:kern w:val="0"/>
                <w:sz w:val="24"/>
                <w:szCs w:val="24"/>
                <w:lang w:val="en-US" w:eastAsia="zh-CN" w:bidi="ar"/>
              </w:rPr>
              <w:t>宜宾市南溪区事业单位</w:t>
            </w:r>
            <w:r>
              <w:rPr>
                <w:rFonts w:hint="default" w:ascii="方正小标宋简体" w:hAnsi="方正小标宋简体" w:eastAsia="方正小标宋简体" w:cs="方正小标宋简体"/>
                <w:kern w:val="0"/>
                <w:sz w:val="24"/>
                <w:szCs w:val="24"/>
                <w:lang w:val="en-US" w:eastAsia="zh-CN" w:bidi="ar"/>
              </w:rPr>
              <w:t>2019年公开考核招聘工作人员岗位情况表</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vMerge w:val="restart"/>
            <w:tcBorders>
              <w:top w:val="nil"/>
              <w:left w:val="single" w:color="auto" w:sz="8" w:space="0"/>
              <w:bottom w:val="single" w:color="000000"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招聘单位</w:t>
            </w:r>
          </w:p>
        </w:tc>
        <w:tc>
          <w:tcPr>
            <w:tcW w:w="1859" w:type="dxa"/>
            <w:gridSpan w:val="2"/>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招聘岗位</w:t>
            </w:r>
          </w:p>
        </w:tc>
        <w:tc>
          <w:tcPr>
            <w:tcW w:w="810" w:type="dxa"/>
            <w:vMerge w:val="restart"/>
            <w:tcBorders>
              <w:top w:val="nil"/>
              <w:left w:val="nil"/>
              <w:bottom w:val="single" w:color="000000"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岗位代码</w:t>
            </w:r>
          </w:p>
        </w:tc>
        <w:tc>
          <w:tcPr>
            <w:tcW w:w="418" w:type="dxa"/>
            <w:vMerge w:val="restart"/>
            <w:tcBorders>
              <w:top w:val="nil"/>
              <w:left w:val="nil"/>
              <w:bottom w:val="single" w:color="000000"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招聘名额</w:t>
            </w:r>
          </w:p>
        </w:tc>
        <w:tc>
          <w:tcPr>
            <w:tcW w:w="7275" w:type="dxa"/>
            <w:gridSpan w:val="5"/>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条件要求</w:t>
            </w:r>
          </w:p>
        </w:tc>
        <w:tc>
          <w:tcPr>
            <w:tcW w:w="973" w:type="dxa"/>
            <w:vMerge w:val="restart"/>
            <w:tcBorders>
              <w:top w:val="nil"/>
              <w:left w:val="nil"/>
              <w:bottom w:val="single" w:color="000000"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考试形式</w:t>
            </w:r>
          </w:p>
        </w:tc>
        <w:tc>
          <w:tcPr>
            <w:tcW w:w="1154" w:type="dxa"/>
            <w:vMerge w:val="restart"/>
            <w:tcBorders>
              <w:top w:val="nil"/>
              <w:left w:val="nil"/>
              <w:bottom w:val="single" w:color="000000"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约定事项</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vMerge w:val="continue"/>
            <w:tcBorders>
              <w:top w:val="nil"/>
              <w:left w:val="single" w:color="auto" w:sz="8" w:space="0"/>
              <w:bottom w:val="single" w:color="000000" w:sz="8" w:space="0"/>
              <w:right w:val="single" w:color="auto" w:sz="8" w:space="0"/>
            </w:tcBorders>
            <w:shd w:val="clear"/>
            <w:tcMar>
              <w:top w:w="15" w:type="dxa"/>
              <w:left w:w="15" w:type="dxa"/>
              <w:bottom w:w="15" w:type="dxa"/>
              <w:right w:w="15" w:type="dxa"/>
            </w:tcMar>
            <w:vAlign w:val="center"/>
          </w:tcPr>
          <w:p>
            <w:pPr>
              <w:rPr>
                <w:rFonts w:hint="eastAsia" w:ascii="宋体"/>
                <w:sz w:val="24"/>
                <w:szCs w:val="24"/>
              </w:rPr>
            </w:pP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岗位名称</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岗位类别</w:t>
            </w:r>
          </w:p>
        </w:tc>
        <w:tc>
          <w:tcPr>
            <w:tcW w:w="810" w:type="dxa"/>
            <w:vMerge w:val="continue"/>
            <w:tcBorders>
              <w:top w:val="nil"/>
              <w:left w:val="nil"/>
              <w:bottom w:val="single" w:color="000000" w:sz="8" w:space="0"/>
              <w:right w:val="single" w:color="auto" w:sz="8" w:space="0"/>
            </w:tcBorders>
            <w:shd w:val="clear"/>
            <w:tcMar>
              <w:top w:w="15" w:type="dxa"/>
              <w:left w:w="15" w:type="dxa"/>
              <w:bottom w:w="15" w:type="dxa"/>
              <w:right w:w="15" w:type="dxa"/>
            </w:tcMar>
            <w:vAlign w:val="center"/>
          </w:tcPr>
          <w:p>
            <w:pPr>
              <w:rPr>
                <w:rFonts w:hint="eastAsia" w:ascii="宋体"/>
                <w:sz w:val="24"/>
                <w:szCs w:val="24"/>
              </w:rPr>
            </w:pPr>
          </w:p>
        </w:tc>
        <w:tc>
          <w:tcPr>
            <w:tcW w:w="418" w:type="dxa"/>
            <w:vMerge w:val="continue"/>
            <w:tcBorders>
              <w:top w:val="nil"/>
              <w:left w:val="nil"/>
              <w:bottom w:val="single" w:color="000000" w:sz="8" w:space="0"/>
              <w:right w:val="single" w:color="auto" w:sz="8" w:space="0"/>
            </w:tcBorders>
            <w:shd w:val="clear"/>
            <w:tcMar>
              <w:top w:w="15" w:type="dxa"/>
              <w:left w:w="15" w:type="dxa"/>
              <w:bottom w:w="15" w:type="dxa"/>
              <w:right w:w="15" w:type="dxa"/>
            </w:tcMar>
            <w:vAlign w:val="center"/>
          </w:tcPr>
          <w:p>
            <w:pPr>
              <w:rPr>
                <w:rFonts w:hint="eastAsia" w:ascii="宋体"/>
                <w:sz w:val="24"/>
                <w:szCs w:val="24"/>
              </w:rPr>
            </w:pP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学历(学位)要求</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教育形式</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专业条件要求</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年龄</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textAlignment w:val="center"/>
            </w:pPr>
            <w:r>
              <w:rPr>
                <w:rFonts w:hint="eastAsia" w:ascii="宋体" w:hAnsi="宋体" w:eastAsia="宋体" w:cs="宋体"/>
                <w:spacing w:val="-8"/>
                <w:kern w:val="0"/>
                <w:sz w:val="13"/>
                <w:szCs w:val="13"/>
                <w:lang w:val="en-US" w:eastAsia="zh-CN" w:bidi="ar"/>
              </w:rPr>
              <w:t>其他</w:t>
            </w:r>
          </w:p>
        </w:tc>
        <w:tc>
          <w:tcPr>
            <w:tcW w:w="973" w:type="dxa"/>
            <w:vMerge w:val="continue"/>
            <w:tcBorders>
              <w:top w:val="nil"/>
              <w:left w:val="nil"/>
              <w:bottom w:val="single" w:color="000000" w:sz="8" w:space="0"/>
              <w:right w:val="single" w:color="auto" w:sz="8" w:space="0"/>
            </w:tcBorders>
            <w:shd w:val="clear"/>
            <w:tcMar>
              <w:top w:w="15" w:type="dxa"/>
              <w:left w:w="15" w:type="dxa"/>
              <w:bottom w:w="15" w:type="dxa"/>
              <w:right w:w="15" w:type="dxa"/>
            </w:tcMar>
            <w:vAlign w:val="center"/>
          </w:tcPr>
          <w:p>
            <w:pPr>
              <w:rPr>
                <w:rFonts w:hint="eastAsia" w:ascii="宋体"/>
                <w:sz w:val="24"/>
                <w:szCs w:val="24"/>
              </w:rPr>
            </w:pPr>
          </w:p>
        </w:tc>
        <w:tc>
          <w:tcPr>
            <w:tcW w:w="1154" w:type="dxa"/>
            <w:vMerge w:val="continue"/>
            <w:tcBorders>
              <w:top w:val="nil"/>
              <w:left w:val="nil"/>
              <w:bottom w:val="single" w:color="000000" w:sz="8" w:space="0"/>
              <w:right w:val="single" w:color="auto" w:sz="8" w:space="0"/>
            </w:tcBorders>
            <w:shd w:val="clear"/>
            <w:tcMar>
              <w:top w:w="15" w:type="dxa"/>
              <w:left w:w="15" w:type="dxa"/>
              <w:bottom w:w="15" w:type="dxa"/>
              <w:right w:w="15" w:type="dxa"/>
            </w:tcMar>
            <w:vAlign w:val="center"/>
          </w:tcPr>
          <w:p>
            <w:pPr>
              <w:rPr>
                <w:rFonts w:hint="eastAsia" w:ascii="宋体"/>
                <w:sz w:val="24"/>
                <w:szCs w:val="24"/>
              </w:rPr>
            </w:pP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312" w:hRule="atLeast"/>
        </w:trPr>
        <w:tc>
          <w:tcPr>
            <w:tcW w:w="1105" w:type="dxa"/>
            <w:vMerge w:val="restart"/>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ascii="仿宋_GB2312" w:eastAsia="仿宋_GB2312" w:cs="仿宋_GB2312" w:hAnsiTheme="minorHAnsi"/>
                <w:spacing w:val="-8"/>
                <w:kern w:val="0"/>
                <w:sz w:val="13"/>
                <w:szCs w:val="13"/>
                <w:lang w:val="en-US" w:eastAsia="zh-CN" w:bidi="ar"/>
              </w:rPr>
              <w:t>四川宜宾南溪经济开发区管委会企业服务中心</w:t>
            </w:r>
          </w:p>
        </w:tc>
        <w:tc>
          <w:tcPr>
            <w:tcW w:w="928"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经济发展处工作员</w:t>
            </w:r>
          </w:p>
        </w:tc>
        <w:tc>
          <w:tcPr>
            <w:tcW w:w="931"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191281001</w:t>
            </w:r>
          </w:p>
        </w:tc>
        <w:tc>
          <w:tcPr>
            <w:tcW w:w="418"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研究生（硕士）及以上</w:t>
            </w:r>
          </w:p>
        </w:tc>
        <w:tc>
          <w:tcPr>
            <w:tcW w:w="723"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普通高等教育全日制</w:t>
            </w:r>
          </w:p>
        </w:tc>
        <w:tc>
          <w:tcPr>
            <w:tcW w:w="2515"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  国民经济学、区域经济学、产业经济学、人口资源与环境经济学、发展经济学、财政学、金融学、投资学、金融与管理、管理与金融、金融、应用金融</w:t>
            </w:r>
          </w:p>
        </w:tc>
        <w:tc>
          <w:tcPr>
            <w:tcW w:w="1428"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35周岁及以下</w:t>
            </w:r>
          </w:p>
        </w:tc>
        <w:tc>
          <w:tcPr>
            <w:tcW w:w="1393"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　</w:t>
            </w:r>
          </w:p>
        </w:tc>
        <w:tc>
          <w:tcPr>
            <w:tcW w:w="973"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结构化面试</w:t>
            </w:r>
          </w:p>
        </w:tc>
        <w:tc>
          <w:tcPr>
            <w:tcW w:w="1154"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140" w:hRule="atLeast"/>
        </w:trPr>
        <w:tc>
          <w:tcPr>
            <w:tcW w:w="1105" w:type="dxa"/>
            <w:vMerge w:val="continue"/>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928"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931"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810"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418"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1216"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723"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2515"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1428"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1393"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973"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1154"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四川宜宾南溪经济开发区管委会企业服务中心</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环保安全处工作员</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191281002</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研究生（硕士）及以上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普通高等教育全日制</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  安全科学与工程、公共安全工程与管理、安全工程、安全技术及工程、环境科学、环境工程、环境管理、生态安全、环境管理与经济、生态学、工程环境控制、化学工程、化学工程领域、化学工艺、化学工程与技术、环境技术、生物化工</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35周岁及以下</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　</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结构化面试</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宜宾市南溪区经济合作服务中心</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财务人员</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191281003</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研究生（硕士）及以上（其中：取得会计（中级）及以上专业技术资格证的报考者，放宽到本科〈学士〉）。</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普通高等教育全日制</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本科：会计、会计学、财务会计、税务与会计、会计电算化、财务电算化、审计、审计学、审计实务；研究生：会计学、审计、审计学、审计理论研究、财务管理、会计硕士专业</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35周岁及以下(取得会计（中级）及以上专业技术资格证的报考者年龄可放宽到40周岁）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取得会计（初级）及以上专业技术资格证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结构化面试</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宜宾市南溪区经济合作服务中心</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外商投资接待工作员</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管理</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191281004</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研究生（硕士）及以上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普通高等教育全日制</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英语语言文学、翻译硕士专业（限：英语笔译、英语口译）</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35周岁及以下</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全国大学英语（CET）六级及以上</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专业技能面试</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宜宾市南溪区投资审计中心</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造价工程师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191281005</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本科（学士）及以上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普通高等教育全日制</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本科：工程造价、工程造价管理、工程管理、管理科学与工程、管理科学工程；研究生：管理科学与工程、工程管理</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30周岁及以下</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取得造价工程师执业资格证或一级造价工程师职业资格证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结构化面试</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宜宾市南溪区投资审计中心</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审计工作员</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191281006</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本科：审计实务、审计、审计学、会计（学）；研究生：审计、审计学、会计学、会计硕士、审计理论研究</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30周岁及以下</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取得审计（中级）及以上专业技术职称资格证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结构化面试</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宜宾市南溪区妇幼保健计划生育服务中心</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药剂人员</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191281007</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本科：药学类（一级学科）；研究生：药学（一级学科）</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取得药学（中级）及以上专业技术职称资格证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专业技能面试</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宜宾市南溪区江南镇卫生院</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临床</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191281008</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大专及以上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大专：临床医学；本科：临床医学；研究生：临床医学</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45周岁及以下</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取得执业（助理）医师资格证书</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专业技能面试</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乡镇最低服务期为5周年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四川省宜宾市南溪第一中学校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高中语文教师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191281009</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本科：中国语言文学类（一级学科）；研究生：中国语言文学（一级学科）</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40周岁及以下(取得高级教师职称资格证人员年龄可放宽到45周岁）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取得高中及以上教师资格证书和一级教师及以上专业技术职称资格证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四川省宜宾市南溪第一中学校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高中英语教师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191281010</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英语、英语教育、英语语言文学、英语笔译、商贸英语、商务英语、应用英语、英语翻译、国际经济与贸易英语；研究生：英语语言文学、外国语言学及应用语言学、翻译硕士专业（限：英语笔译、英语口译）</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40周岁及以下(取得高级教师职称资格证人员年龄可放宽到45周岁）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取得高中及以上教师资格证书和一级教师及以上专业技术职称资格证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四川省宜宾市南溪第一中学校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高中生物教师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191281011</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本科：生物科学类（一级学科）；研究生：生物学（一级学科）</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40周岁及以下(取得高级教师职称资格证书人员年龄可放宽到45周岁）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取得高中及以上教师资格证书和一级教师及以上专业技术职称资格证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四川省宜宾市南溪第一中学校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高中政治教师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191281012</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本科：政治学类（一级学科）、马克思主义理论类（一级学科）；研究生：政治学（一级学科）、马克思主义理论（一级学科）</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取得高中及以上教师资格证书和一级教师及以上专业技术职称资格证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四川省宜宾市南溪第一中学校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高中化学教师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191281013</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2</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本科：化学类（一级学科）；研究生：化学（一级学科）</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取得高中及以上教师资格证书和一级教师及以上专业技术职称资格证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四川省宜宾市南溪职业技术学校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职高汽修专业教师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191281014</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本科（学士）及以上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普通高等教育全日制</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不限</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取得中等职业学校汽车运用与维修教师资格证，一级教师及以上专业技术职称资格证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专业技能面试</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宜宾市南溪区钟灵街小学</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小学语文教师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191281015</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本科：中国语言文学类（一级学科）；研究生：中国语言文学（一级学科）</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取得小学及以上教师资格证书和一级教师及以上专业技术职称资格证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宜宾市南溪区前进小学</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小学语文教师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191281016</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本科：中国语言文学类（一级学科）；研究生：中国语言文学（一级学科）</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取得小学及以上教师资格证书和一级教师及以上专业技术职称资格证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宜宾市南溪区丽雅小学</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小学英语教师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191281017</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英语、英语教育、英语语言文学、英语笔译、商贸英语、商务英语、应用英语、英语翻译、国际经济与贸易英语；研究生：英语语言文学、外国语言学及应用语言学、翻译硕士专业（限：英语笔译、英语口译）</w:t>
            </w:r>
          </w:p>
        </w:tc>
        <w:tc>
          <w:tcPr>
            <w:tcW w:w="1428"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取得小学及以上教师资格证书和一级教师及以上专业技术职称资格证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宜宾市南溪区第二中学校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高中地理教师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191281018</w:t>
            </w:r>
          </w:p>
        </w:tc>
        <w:tc>
          <w:tcPr>
            <w:tcW w:w="418" w:type="dxa"/>
            <w:tcBorders>
              <w:top w:val="nil"/>
              <w:left w:val="nil"/>
              <w:bottom w:val="single" w:color="000000"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本科：地理科学类（一级学科）、地质学类（一级学科）；研究生：地理学（一级学科）、地质学（一级学科）</w:t>
            </w:r>
          </w:p>
        </w:tc>
        <w:tc>
          <w:tcPr>
            <w:tcW w:w="1428" w:type="dxa"/>
            <w:tcBorders>
              <w:top w:val="nil"/>
              <w:left w:val="nil"/>
              <w:bottom w:val="single" w:color="auto" w:sz="8" w:space="0"/>
              <w:right w:val="single" w:color="auto"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取得高中及以上教师资格证书和一级教师及以上专业技术职称资格证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宜宾市南溪区第二中学校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高中政治教师</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191281019</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本科：政治学类（一级学科）、马克思主义理论类（一级学科）；研究生：政治学（一级学科）、马克思主义理论（一级学科）</w:t>
            </w:r>
          </w:p>
        </w:tc>
        <w:tc>
          <w:tcPr>
            <w:tcW w:w="1428"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取得高中及以上教师资格证书和一级教师及以上专业技术职称资格证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宜宾市南溪区罗龙街道初级中学校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初中数学</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191281020</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2</w:t>
            </w:r>
          </w:p>
        </w:tc>
        <w:tc>
          <w:tcPr>
            <w:tcW w:w="1216"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16"/>
                <w:kern w:val="0"/>
                <w:sz w:val="13"/>
                <w:szCs w:val="13"/>
                <w:lang w:val="en-US" w:eastAsia="zh-CN" w:bidi="ar"/>
              </w:rPr>
              <w:t>研究生(硕士)及以上（其中：取得一级教师及以上专业技术职称资格证的报考者，放宽到本科〈学士〉）</w:t>
            </w:r>
          </w:p>
        </w:tc>
        <w:tc>
          <w:tcPr>
            <w:tcW w:w="723"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普通高等教育全日制</w:t>
            </w:r>
          </w:p>
        </w:tc>
        <w:tc>
          <w:tcPr>
            <w:tcW w:w="2515"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本科：数学类（一级学科）；研究生：数学（一级学科）</w:t>
            </w:r>
          </w:p>
        </w:tc>
        <w:tc>
          <w:tcPr>
            <w:tcW w:w="1428"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35周岁及以下(取得一级教师职称人员年龄可放宽到40周岁）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取得初级中学及以上教师资格证书和一级教师及以上专业技术职称资格证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宜宾市南溪区罗龙街道初级中学校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初中语文</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191281021</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研究生（硕士）及以上</w:t>
            </w:r>
          </w:p>
        </w:tc>
        <w:tc>
          <w:tcPr>
            <w:tcW w:w="723"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普通高等教育全日制</w:t>
            </w:r>
          </w:p>
        </w:tc>
        <w:tc>
          <w:tcPr>
            <w:tcW w:w="2515"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中国语言文学（一级学科）</w:t>
            </w:r>
          </w:p>
        </w:tc>
        <w:tc>
          <w:tcPr>
            <w:tcW w:w="1428"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35周岁及以下</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取得初级中学及以上教师资格证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宜宾市南溪区罗龙街道初级中学校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初中英语</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191281022</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本科（学士）及以上</w:t>
            </w:r>
          </w:p>
        </w:tc>
        <w:tc>
          <w:tcPr>
            <w:tcW w:w="723"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普通高等教育全日制</w:t>
            </w:r>
          </w:p>
        </w:tc>
        <w:tc>
          <w:tcPr>
            <w:tcW w:w="2515"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英语、英语教育、英语语言文学、英语笔译、商贸英语、商务英语、应用英语、英语翻译、国际经济与贸易英语；研究生：英语语言文学、外国语言学及应用语言学、翻译硕士专业（限：英语笔译、英语口译）</w:t>
            </w:r>
          </w:p>
        </w:tc>
        <w:tc>
          <w:tcPr>
            <w:tcW w:w="1428" w:type="dxa"/>
            <w:tcBorders>
              <w:top w:val="nil"/>
              <w:left w:val="nil"/>
              <w:bottom w:val="single" w:color="auto"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取得初级中学及以上教师资格证书和一级教师及以上专业技术职称资格证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Layout w:type="fixed"/>
          <w:tblCellMar>
            <w:top w:w="0" w:type="dxa"/>
            <w:left w:w="0" w:type="dxa"/>
            <w:bottom w:w="0" w:type="dxa"/>
            <w:right w:w="0" w:type="dxa"/>
          </w:tblCellMar>
        </w:tblPrEx>
        <w:trPr>
          <w:trHeight w:val="55" w:hRule="atLeast"/>
        </w:trPr>
        <w:tc>
          <w:tcPr>
            <w:tcW w:w="1105" w:type="dxa"/>
            <w:tcBorders>
              <w:top w:val="nil"/>
              <w:left w:val="single" w:color="000000" w:sz="8" w:space="0"/>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宜宾市南溪区罗龙街道初级中学校</w:t>
            </w:r>
          </w:p>
        </w:tc>
        <w:tc>
          <w:tcPr>
            <w:tcW w:w="9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初中体育</w:t>
            </w:r>
          </w:p>
        </w:tc>
        <w:tc>
          <w:tcPr>
            <w:tcW w:w="93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专业技术</w:t>
            </w:r>
          </w:p>
        </w:tc>
        <w:tc>
          <w:tcPr>
            <w:tcW w:w="810"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191281023</w:t>
            </w:r>
          </w:p>
        </w:tc>
        <w:tc>
          <w:tcPr>
            <w:tcW w:w="41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1</w:t>
            </w:r>
          </w:p>
        </w:tc>
        <w:tc>
          <w:tcPr>
            <w:tcW w:w="1216"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本科及以上</w:t>
            </w:r>
          </w:p>
        </w:tc>
        <w:tc>
          <w:tcPr>
            <w:tcW w:w="72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国民教育</w:t>
            </w:r>
          </w:p>
        </w:tc>
        <w:tc>
          <w:tcPr>
            <w:tcW w:w="251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本科：体育学类（一级学科）；研究生：体育学（一级学科）</w:t>
            </w:r>
          </w:p>
        </w:tc>
        <w:tc>
          <w:tcPr>
            <w:tcW w:w="142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40周岁及以下(取得高级教师职称人员年龄可放宽到45周岁）</w:t>
            </w:r>
          </w:p>
        </w:tc>
        <w:tc>
          <w:tcPr>
            <w:tcW w:w="139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取得初级中学及以上教师资格证书和一级教师及以上专业技术职称资格证</w:t>
            </w:r>
          </w:p>
        </w:tc>
        <w:tc>
          <w:tcPr>
            <w:tcW w:w="973"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上微课</w:t>
            </w:r>
          </w:p>
        </w:tc>
        <w:tc>
          <w:tcPr>
            <w:tcW w:w="1154"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1" w:after="0" w:afterAutospacing="1" w:line="140" w:lineRule="atLeast"/>
              <w:ind w:left="0" w:right="0"/>
              <w:jc w:val="center"/>
            </w:pPr>
            <w:r>
              <w:rPr>
                <w:rFonts w:hint="default" w:ascii="仿宋_GB2312" w:eastAsia="仿宋_GB2312" w:cs="仿宋_GB2312" w:hAnsiTheme="minorHAnsi"/>
                <w:spacing w:val="-8"/>
                <w:kern w:val="0"/>
                <w:sz w:val="13"/>
                <w:szCs w:val="13"/>
                <w:lang w:val="en-US" w:eastAsia="zh-CN" w:bidi="ar"/>
              </w:rPr>
              <w:t>最低服务期为5周年</w:t>
            </w:r>
          </w:p>
        </w:tc>
        <w:tc>
          <w:tcPr>
            <w:tcW w:w="251" w:type="dxa"/>
            <w:tcBorders>
              <w:top w:val="nil"/>
              <w:left w:val="nil"/>
              <w:bottom w:val="nil"/>
              <w:right w:val="nil"/>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50146"/>
    <w:rsid w:val="29D5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2019-09-04T06:58:00Z</dcterms:created>
  <dc:creator>那时花开咖啡馆。</dc:creator>
  <cp:lastModifiedBy>那时花开咖啡馆。</cp:lastModifiedBy>
  <dcterms:modified xsi:type="dcterms:W3CDTF">2019-09-04T06:58:24Z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